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2D charts</w:t>
      </w:r>
      <w:bookmarkEnd w:id="0"/>
    </w:p>
    <w:p>
      <w:pPr>
        <w:sectPr>
          <w:pgSz w:orient="portrait" w:w="11905.511811023621703498065471649169921875" w:h="16837.7952755905498634092509746551513671875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1" w:name="_Toc1"/>
      <w:r>
        <w:t>Pie</w:t>
      </w:r>
      <w:bookmarkEnd w:id="1"/>
    </w:p>
    <w:p>
      <w:r>
        <w:drawing>
          <wp:inline>
            <wp:extent cx="2286000" cy="1828800"/>
            <wp:docPr id="7" name="Chart7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/>
    <w:p>
      <w:pPr>
        <w:pStyle w:val="Heading2"/>
      </w:pPr>
      <w:bookmarkStart w:id="2" w:name="_Toc2"/>
      <w:r>
        <w:t>Doughnut</w:t>
      </w:r>
      <w:bookmarkEnd w:id="2"/>
    </w:p>
    <w:p>
      <w:r>
        <w:drawing>
          <wp:inline>
            <wp:extent cx="2286000" cy="1828800"/>
            <wp:docPr id="8" name="Chart8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/>
    <w:p>
      <w:pPr>
        <w:pStyle w:val="Heading2"/>
      </w:pPr>
      <w:bookmarkStart w:id="3" w:name="_Toc3"/>
      <w:r>
        <w:t>Bar</w:t>
      </w:r>
      <w:bookmarkEnd w:id="3"/>
    </w:p>
    <w:p>
      <w:r>
        <w:drawing>
          <wp:inline>
            <wp:extent cx="2286000" cy="1828800"/>
            <wp:docPr id="9" name="Chart9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/>
    <w:p>
      <w:pPr>
        <w:pStyle w:val="Heading2"/>
      </w:pPr>
      <w:bookmarkStart w:id="4" w:name="_Toc4"/>
      <w:r>
        <w:t>Column</w:t>
      </w:r>
      <w:bookmarkEnd w:id="4"/>
    </w:p>
    <w:p>
      <w:r>
        <w:drawing>
          <wp:inline>
            <wp:extent cx="2286000" cy="1828800"/>
            <wp:docPr id="10" name="Chart10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/>
    <w:p>
      <w:pPr>
        <w:pStyle w:val="Heading2"/>
      </w:pPr>
      <w:bookmarkStart w:id="5" w:name="_Toc5"/>
      <w:r>
        <w:t>Line</w:t>
      </w:r>
      <w:bookmarkEnd w:id="5"/>
    </w:p>
    <w:p>
      <w:r>
        <w:drawing>
          <wp:inline>
            <wp:extent cx="2286000" cy="1828800"/>
            <wp:docPr id="11" name="Chart11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/>
    <w:p>
      <w:pPr>
        <w:pStyle w:val="Heading2"/>
      </w:pPr>
      <w:bookmarkStart w:id="6" w:name="_Toc6"/>
      <w:r>
        <w:t>Area</w:t>
      </w:r>
      <w:bookmarkEnd w:id="6"/>
    </w:p>
    <w:p>
      <w:r>
        <w:drawing>
          <wp:inline>
            <wp:extent cx="2286000" cy="1828800"/>
            <wp:docPr id="12" name="Chart12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/>
    <w:p>
      <w:pPr>
        <w:pStyle w:val="Heading2"/>
      </w:pPr>
      <w:bookmarkStart w:id="7" w:name="_Toc7"/>
      <w:r>
        <w:t>Scatter</w:t>
      </w:r>
      <w:bookmarkEnd w:id="7"/>
    </w:p>
    <w:p>
      <w:r>
        <w:drawing>
          <wp:inline>
            <wp:extent cx="2286000" cy="1828800"/>
            <wp:docPr id="13" name="Chart13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/>
    <w:p>
      <w:pPr>
        <w:pStyle w:val="Heading2"/>
      </w:pPr>
      <w:bookmarkStart w:id="8" w:name="_Toc8"/>
      <w:r>
        <w:t>Radar</w:t>
      </w:r>
      <w:bookmarkEnd w:id="8"/>
    </w:p>
    <w:p>
      <w:r>
        <w:drawing>
          <wp:inline>
            <wp:extent cx="2286000" cy="1828800"/>
            <wp:docPr id="14" name="Chart14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/>
    <w:p>
      <w:pPr>
        <w:pStyle w:val="Heading2"/>
      </w:pPr>
      <w:bookmarkStart w:id="9" w:name="_Toc9"/>
      <w:r>
        <w:t>Stacked_bar</w:t>
      </w:r>
      <w:bookmarkEnd w:id="9"/>
    </w:p>
    <w:p>
      <w:r>
        <w:drawing>
          <wp:inline>
            <wp:extent cx="2286000" cy="1828800"/>
            <wp:docPr id="15" name="Chart15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/>
    <w:p>
      <w:pPr>
        <w:pStyle w:val="Heading2"/>
      </w:pPr>
      <w:bookmarkStart w:id="10" w:name="_Toc10"/>
      <w:r>
        <w:t>Percent_stacked_bar</w:t>
      </w:r>
      <w:bookmarkEnd w:id="10"/>
    </w:p>
    <w:p>
      <w:r>
        <w:drawing>
          <wp:inline>
            <wp:extent cx="2286000" cy="1828800"/>
            <wp:docPr id="16" name="Chart16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/>
    <w:p>
      <w:pPr>
        <w:pStyle w:val="Heading2"/>
      </w:pPr>
      <w:bookmarkStart w:id="11" w:name="_Toc11"/>
      <w:r>
        <w:t>Stacked_column</w:t>
      </w:r>
      <w:bookmarkEnd w:id="11"/>
    </w:p>
    <w:p>
      <w:r>
        <w:drawing>
          <wp:inline>
            <wp:extent cx="2286000" cy="1828800"/>
            <wp:docPr id="17" name="Chart17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/>
    <w:p>
      <w:pPr>
        <w:pStyle w:val="Heading2"/>
      </w:pPr>
      <w:bookmarkStart w:id="12" w:name="_Toc12"/>
      <w:r>
        <w:t>Percent_stacked_column</w:t>
      </w:r>
      <w:bookmarkEnd w:id="12"/>
    </w:p>
    <w:p>
      <w:r>
        <w:drawing>
          <wp:inline>
            <wp:extent cx="2286000" cy="1828800"/>
            <wp:docPr id="18" name="Chart18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/>
    <w:p>
      <w:pPr>
        <w:sectPr>
          <w:type w:val="continuous"/>
          <w:pgSz w:orient="portrait" w:w="11905.511811023621703498065471649169921875" w:h="16837.7952755905498634092509746551513671875"/>
          <w:pgMar w:top="1440" w:right="1440" w:bottom="1440" w:left="1440" w:header="720" w:footer="720" w:gutter="0"/>
          <w:cols w:num="2" w:space="720"/>
        </w:sectPr>
      </w:pPr>
    </w:p>
    <w:p>
      <w:pPr>
        <w:pStyle w:val="Heading1"/>
      </w:pPr>
      <w:bookmarkStart w:id="13" w:name="_Toc13"/>
      <w:r>
        <w:t>3D charts</w:t>
      </w:r>
      <w:bookmarkEnd w:id="13"/>
    </w:p>
    <w:p>
      <w:pPr>
        <w:sectPr>
          <w:type w:val="continuous"/>
          <w:pgSz w:orient="portrait" w:w="11905.511811023621703498065471649169921875" w:h="16837.7952755905498634092509746551513671875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14" w:name="_Toc14"/>
      <w:r>
        <w:t>Pie</w:t>
      </w:r>
      <w:bookmarkEnd w:id="14"/>
    </w:p>
    <w:p>
      <w:r>
        <w:drawing>
          <wp:inline>
            <wp:extent cx="1800000" cy="1440000"/>
            <wp:docPr id="19" name="Chart19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/>
    <w:p>
      <w:pPr>
        <w:pStyle w:val="Heading2"/>
      </w:pPr>
      <w:bookmarkStart w:id="15" w:name="_Toc15"/>
      <w:r>
        <w:t>Bar</w:t>
      </w:r>
      <w:bookmarkEnd w:id="15"/>
    </w:p>
    <w:p>
      <w:r>
        <w:drawing>
          <wp:inline>
            <wp:extent cx="1800000" cy="1440000"/>
            <wp:docPr id="20" name="Chart20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/>
    <w:p>
      <w:pPr>
        <w:pStyle w:val="Heading2"/>
      </w:pPr>
      <w:bookmarkStart w:id="16" w:name="_Toc16"/>
      <w:r>
        <w:t>Column</w:t>
      </w:r>
      <w:bookmarkEnd w:id="16"/>
    </w:p>
    <w:p>
      <w:r>
        <w:drawing>
          <wp:inline>
            <wp:extent cx="1800000" cy="1440000"/>
            <wp:docPr id="21" name="Chart21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/>
    <w:p>
      <w:pPr>
        <w:pStyle w:val="Heading2"/>
      </w:pPr>
      <w:bookmarkStart w:id="17" w:name="_Toc17"/>
      <w:r>
        <w:t>Line</w:t>
      </w:r>
      <w:bookmarkEnd w:id="17"/>
    </w:p>
    <w:p>
      <w:r>
        <w:drawing>
          <wp:inline>
            <wp:extent cx="1800000" cy="1440000"/>
            <wp:docPr id="22" name="Chart22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/>
    <w:p>
      <w:pPr>
        <w:pStyle w:val="Heading2"/>
      </w:pPr>
      <w:bookmarkStart w:id="18" w:name="_Toc18"/>
      <w:r>
        <w:t>Area</w:t>
      </w:r>
      <w:bookmarkEnd w:id="18"/>
    </w:p>
    <w:p>
      <w:r>
        <w:drawing>
          <wp:inline>
            <wp:extent cx="1800000" cy="1440000"/>
            <wp:docPr id="23" name="Chart23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/>
    <w:sectPr>
      <w:type w:val="continuous"/>
      <w:pgSz w:orient="portrait" w:w="11905.511811023621703498065471649169921875" w:h="16837.7952755905498634092509746551513671875"/>
      <w:pgMar w:top="1440" w:right="1440" w:bottom="1440" w:left="1440" w:header="720" w:footer="720" w:gutter="0"/>
      <w:cols w:num="2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/>
    </w:pPr>
    <w:rPr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hart" Target="charts/chart1.xml"/><Relationship Id="rId8" Type="http://schemas.openxmlformats.org/officeDocument/2006/relationships/chart" Target="charts/chart2.xml"/><Relationship Id="rId9" Type="http://schemas.openxmlformats.org/officeDocument/2006/relationships/chart" Target="charts/chart3.xml"/><Relationship Id="rId10" Type="http://schemas.openxmlformats.org/officeDocument/2006/relationships/chart" Target="charts/chart4.xml"/><Relationship Id="rId11" Type="http://schemas.openxmlformats.org/officeDocument/2006/relationships/chart" Target="charts/chart5.xml"/><Relationship Id="rId12" Type="http://schemas.openxmlformats.org/officeDocument/2006/relationships/chart" Target="charts/chart6.xml"/><Relationship Id="rId13" Type="http://schemas.openxmlformats.org/officeDocument/2006/relationships/chart" Target="charts/chart7.xml"/><Relationship Id="rId14" Type="http://schemas.openxmlformats.org/officeDocument/2006/relationships/chart" Target="charts/chart8.xml"/><Relationship Id="rId15" Type="http://schemas.openxmlformats.org/officeDocument/2006/relationships/chart" Target="charts/chart9.xml"/><Relationship Id="rId16" Type="http://schemas.openxmlformats.org/officeDocument/2006/relationships/chart" Target="charts/chart10.xml"/><Relationship Id="rId17" Type="http://schemas.openxmlformats.org/officeDocument/2006/relationships/chart" Target="charts/chart11.xml"/><Relationship Id="rId18" Type="http://schemas.openxmlformats.org/officeDocument/2006/relationships/chart" Target="charts/chart12.xml"/><Relationship Id="rId19" Type="http://schemas.openxmlformats.org/officeDocument/2006/relationships/chart" Target="charts/chart13.xml"/><Relationship Id="rId20" Type="http://schemas.openxmlformats.org/officeDocument/2006/relationships/chart" Target="charts/chart14.xml"/><Relationship Id="rId21" Type="http://schemas.openxmlformats.org/officeDocument/2006/relationships/chart" Target="charts/chart15.xml"/><Relationship Id="rId22" Type="http://schemas.openxmlformats.org/officeDocument/2006/relationships/chart" Target="charts/chart16.xml"/><Relationship Id="rId23" Type="http://schemas.openxmlformats.org/officeDocument/2006/relationships/chart" Target="charts/chart1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pieChart>
        <c:varyColors val="1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</c:pieChart>
    </c:plotArea>
  </c:chart>
  <c:spPr>
    <a:ln>
      <a:noFill/>
    </a:ln>
  </c:spPr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bar"/>
        <c:grouping val="percent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col"/>
        <c:grouping val="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col"/>
        <c:grouping val="percent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pie3DChart>
        <c:varyColors val="1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</c:pie3DChart>
    </c:plotArea>
  </c:chart>
  <c:spPr>
    <a:ln>
      <a:noFill/>
    </a:ln>
  </c:spPr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3DChart>
        <c:varyColors val="0"/>
        <c:barDir val="bar"/>
        <c:grouping val="cluster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3DChart>
        <c:varyColors val="0"/>
        <c:barDir val="col"/>
        <c:grouping val="cluster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line3DChart>
        <c:varyColors val="0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  <c:axId val="1"/>
        <c:axId val="2"/>
      </c:line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area3DChart>
        <c:varyColors val="0"/>
        <c:grouping val="standar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  <c:axId val="1"/>
        <c:axId val="2"/>
      </c:area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doughnutChart>
        <c:varyColors val="1"/>
        <c:holeSize val="75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</c:doughnutChart>
    </c:plotArea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bar"/>
        <c:grouping val="cluster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col"/>
        <c:grouping val="cluster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lineChart>
        <c:varyColors val="0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overlap val="100"/>
        <c:axId val="1"/>
        <c:axId val="2"/>
      </c:line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areaChart>
        <c:varyColors val="0"/>
        <c:grouping val="standar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area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scatterChart>
        <c:varyColors val="0"/>
        <c:scatterStyle val="marker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spPr>
            <a:ln>
              <a:noFill/>
            </a:ln>
          </c:spPr>
          <c:xVal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xVal>
          <c:y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y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spPr>
            <a:ln>
              <a:noFill/>
            </a:ln>
          </c:spPr>
          <c:xVal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xVal>
          <c:y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yVal>
        </c:ser>
        <c:overlap val="100"/>
        <c:axId val="1"/>
        <c:axId val="2"/>
      </c:scatte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radarChart>
        <c:varyColors val="0"/>
        <c:radarStyle val="standar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rad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majorGridlines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majorGridlines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legend>
      <c:legendPos val="t"/>
    </c:legend>
    <c:plotArea>
      <c:layout/>
      <c:barChart>
        <c:varyColors val="0"/>
        <c:barDir val="bar"/>
        <c:grouping val="stacked"/>
        <c:ser>
          <c:idx val="0"/>
          <c:order val="0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dLbls>
            <c:showVal val="1"/>
            <c:showCatName val="1"/>
            <c:showLegendKey val="0"/>
            <c:showSerName val="0"/>
            <c:showPercent val="0"/>
            <c:showLeaderLines val="0"/>
            <c:showBubbleSize val="0"/>
          </c:dLbls>
          <c:cat>
            <c:strLit>
              <c:ptCount val="5"/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Count val="5"/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overlap val="100"/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2026-03-04T07:16:39+00:00</dcterms:created>
  <dcterms:modified xsi:type="dcterms:W3CDTF">2026-03-04T07:16:39+00:00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